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902C8" w14:textId="57B45F42" w:rsidR="00D772BF" w:rsidRDefault="00BA6003" w:rsidP="00BA6003">
      <w:pPr>
        <w:jc w:val="center"/>
        <w:rPr>
          <w:rFonts w:ascii="Arial" w:hAnsi="Arial" w:cs="Arial"/>
        </w:rPr>
        <w:sectPr w:rsidR="00D772BF" w:rsidSect="00D772BF">
          <w:pgSz w:w="11906" w:h="16838"/>
          <w:pgMar w:top="1418" w:right="1701" w:bottom="1418" w:left="1701" w:header="709" w:footer="709" w:gutter="0"/>
          <w:cols w:space="708"/>
          <w:docGrid w:linePitch="360"/>
        </w:sectPr>
      </w:pPr>
      <w:r w:rsidRPr="00BA6003">
        <w:rPr>
          <w:noProof/>
        </w:rPr>
        <w:drawing>
          <wp:anchor distT="0" distB="0" distL="114300" distR="114300" simplePos="0" relativeHeight="251666432" behindDoc="0" locked="0" layoutInCell="1" allowOverlap="1" wp14:anchorId="02262F51" wp14:editId="7B31FD1D">
            <wp:simplePos x="0" y="0"/>
            <wp:positionH relativeFrom="margin">
              <wp:align>center</wp:align>
            </wp:positionH>
            <wp:positionV relativeFrom="paragraph">
              <wp:posOffset>220345</wp:posOffset>
            </wp:positionV>
            <wp:extent cx="4648200" cy="8655050"/>
            <wp:effectExtent l="0" t="0" r="0" b="0"/>
            <wp:wrapThrough wrapText="bothSides">
              <wp:wrapPolygon edited="0">
                <wp:start x="0" y="0"/>
                <wp:lineTo x="0" y="21537"/>
                <wp:lineTo x="21511" y="21537"/>
                <wp:lineTo x="21511" y="14643"/>
                <wp:lineTo x="20980" y="14595"/>
                <wp:lineTo x="21511" y="14310"/>
                <wp:lineTo x="21511" y="7940"/>
                <wp:lineTo x="15138" y="7607"/>
                <wp:lineTo x="18944" y="7607"/>
                <wp:lineTo x="21511" y="7321"/>
                <wp:lineTo x="21511" y="0"/>
                <wp:lineTo x="0" y="0"/>
              </wp:wrapPolygon>
            </wp:wrapThrough>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48200" cy="8655050"/>
                    </a:xfrm>
                    <a:prstGeom prst="rect">
                      <a:avLst/>
                    </a:prstGeom>
                    <a:noFill/>
                    <a:ln>
                      <a:noFill/>
                    </a:ln>
                  </pic:spPr>
                </pic:pic>
              </a:graphicData>
            </a:graphic>
            <wp14:sizeRelH relativeFrom="page">
              <wp14:pctWidth>0</wp14:pctWidth>
            </wp14:sizeRelH>
            <wp14:sizeRelV relativeFrom="page">
              <wp14:pctHeight>0</wp14:pctHeight>
            </wp14:sizeRelV>
          </wp:anchor>
        </w:drawing>
      </w:r>
      <w:r w:rsidR="00DF31F4" w:rsidRPr="00DF31F4">
        <w:rPr>
          <w:rFonts w:ascii="Arial" w:hAnsi="Arial" w:cs="Arial"/>
          <w:b/>
          <w:bCs/>
        </w:rPr>
        <w:t>SMART IBÉRICA DE IMPULSO EMPRESARIAL. PRESUPUESTO 2021</w:t>
      </w:r>
    </w:p>
    <w:p w14:paraId="4D11586A" w14:textId="27D09162" w:rsidR="00D772BF" w:rsidRDefault="00BA6003" w:rsidP="0038013D">
      <w:pPr>
        <w:jc w:val="center"/>
        <w:rPr>
          <w:b/>
          <w:bCs/>
        </w:rPr>
      </w:pPr>
      <w:r w:rsidRPr="00BA6003">
        <w:rPr>
          <w:noProof/>
        </w:rPr>
        <w:lastRenderedPageBreak/>
        <w:drawing>
          <wp:anchor distT="0" distB="0" distL="114300" distR="114300" simplePos="0" relativeHeight="251667456" behindDoc="0" locked="0" layoutInCell="1" allowOverlap="1" wp14:anchorId="7A54FE38" wp14:editId="3A2C8612">
            <wp:simplePos x="0" y="0"/>
            <wp:positionH relativeFrom="margin">
              <wp:posOffset>-377190</wp:posOffset>
            </wp:positionH>
            <wp:positionV relativeFrom="paragraph">
              <wp:posOffset>285115</wp:posOffset>
            </wp:positionV>
            <wp:extent cx="9618980" cy="1778000"/>
            <wp:effectExtent l="0" t="0" r="1270" b="0"/>
            <wp:wrapThrough wrapText="bothSides">
              <wp:wrapPolygon edited="0">
                <wp:start x="0" y="0"/>
                <wp:lineTo x="0" y="21291"/>
                <wp:lineTo x="21560" y="21291"/>
                <wp:lineTo x="21560" y="11340"/>
                <wp:lineTo x="21432" y="11109"/>
                <wp:lineTo x="21132" y="11109"/>
                <wp:lineTo x="21560" y="10183"/>
                <wp:lineTo x="21560" y="5554"/>
                <wp:lineTo x="21303" y="5091"/>
                <wp:lineTo x="19977" y="3703"/>
                <wp:lineTo x="21560" y="3703"/>
                <wp:lineTo x="21560" y="0"/>
                <wp:lineTo x="0" y="0"/>
              </wp:wrapPolygon>
            </wp:wrapThrough>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618980" cy="177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8013D" w:rsidRPr="0038013D">
        <w:rPr>
          <w:b/>
          <w:bCs/>
        </w:rPr>
        <w:t>PRESUPUESTO DE INGRESOS PARA 2021 DE SMART IBÉRICA DE IMPULSO EMPRESARIAL</w:t>
      </w:r>
    </w:p>
    <w:p w14:paraId="0134AF22" w14:textId="6A67B67C" w:rsidR="00BA6003" w:rsidRDefault="00BA6003" w:rsidP="0038013D">
      <w:pPr>
        <w:jc w:val="center"/>
        <w:rPr>
          <w:b/>
          <w:bCs/>
        </w:rPr>
      </w:pPr>
    </w:p>
    <w:p w14:paraId="4EBDB5C9" w14:textId="0BF279CF" w:rsidR="001600C3" w:rsidRPr="0038013D" w:rsidRDefault="001600C3" w:rsidP="0038013D">
      <w:pPr>
        <w:jc w:val="center"/>
        <w:rPr>
          <w:rFonts w:ascii="Arial" w:hAnsi="Arial" w:cs="Arial"/>
          <w:b/>
          <w:bCs/>
        </w:rPr>
      </w:pPr>
    </w:p>
    <w:p w14:paraId="1261DDD4" w14:textId="77777777" w:rsidR="0038013D" w:rsidRDefault="0038013D" w:rsidP="001600C3">
      <w:pPr>
        <w:jc w:val="both"/>
        <w:rPr>
          <w:rFonts w:ascii="Arial" w:hAnsi="Arial" w:cs="Arial"/>
        </w:rPr>
      </w:pPr>
    </w:p>
    <w:p w14:paraId="3E00178F" w14:textId="35DB1386" w:rsidR="00311F13" w:rsidRPr="00311F13" w:rsidRDefault="00311F13" w:rsidP="001600C3">
      <w:pPr>
        <w:jc w:val="both"/>
        <w:rPr>
          <w:rFonts w:ascii="Arial" w:hAnsi="Arial" w:cs="Arial"/>
          <w:lang w:val="fr-FR"/>
        </w:rPr>
      </w:pPr>
      <w:r w:rsidRPr="00311F13">
        <w:rPr>
          <w:rFonts w:ascii="Arial" w:hAnsi="Arial" w:cs="Arial"/>
          <w:lang w:val="fr-FR"/>
        </w:rPr>
        <w:t>Nous avons calculé la t</w:t>
      </w:r>
      <w:r>
        <w:rPr>
          <w:rFonts w:ascii="Arial" w:hAnsi="Arial" w:cs="Arial"/>
          <w:lang w:val="fr-FR"/>
        </w:rPr>
        <w:t>endance de facturation en nous basant sur la facturation réalisée en 2017, 2018 et 2019.</w:t>
      </w:r>
    </w:p>
    <w:p w14:paraId="0C09DCC8" w14:textId="45CC1DCA" w:rsidR="00311F13" w:rsidRPr="00311F13" w:rsidRDefault="00311F13" w:rsidP="001600C3">
      <w:pPr>
        <w:jc w:val="both"/>
        <w:rPr>
          <w:rFonts w:ascii="Arial" w:hAnsi="Arial" w:cs="Arial"/>
          <w:lang w:val="fr-FR"/>
        </w:rPr>
      </w:pPr>
      <w:r w:rsidRPr="00311F13">
        <w:rPr>
          <w:rFonts w:ascii="Arial" w:hAnsi="Arial" w:cs="Arial"/>
          <w:lang w:val="fr-FR"/>
        </w:rPr>
        <w:t>Nous avons prévu une f</w:t>
      </w:r>
      <w:r>
        <w:rPr>
          <w:rFonts w:ascii="Arial" w:hAnsi="Arial" w:cs="Arial"/>
          <w:lang w:val="fr-FR"/>
        </w:rPr>
        <w:t>acturation de 3.500.000€ pour l’exercice 2021, et nous l’avons distribuée selon le % correspondant à chaque mois.</w:t>
      </w:r>
    </w:p>
    <w:p w14:paraId="64C0B773" w14:textId="33F64A2D" w:rsidR="00311F13" w:rsidRPr="0072175F" w:rsidRDefault="0072175F" w:rsidP="001600C3">
      <w:pPr>
        <w:jc w:val="both"/>
        <w:rPr>
          <w:rFonts w:ascii="Arial" w:hAnsi="Arial" w:cs="Arial"/>
          <w:lang w:val="fr-FR"/>
        </w:rPr>
      </w:pPr>
      <w:r w:rsidRPr="0072175F">
        <w:rPr>
          <w:rFonts w:ascii="Arial" w:hAnsi="Arial" w:cs="Arial"/>
          <w:lang w:val="fr-FR"/>
        </w:rPr>
        <w:t xml:space="preserve">La marge </w:t>
      </w:r>
      <w:r>
        <w:rPr>
          <w:rFonts w:ascii="Arial" w:hAnsi="Arial" w:cs="Arial"/>
          <w:lang w:val="fr-FR"/>
        </w:rPr>
        <w:t xml:space="preserve">de </w:t>
      </w:r>
      <w:proofErr w:type="spellStart"/>
      <w:r w:rsidRPr="0072175F">
        <w:rPr>
          <w:rFonts w:ascii="Arial" w:hAnsi="Arial" w:cs="Arial"/>
          <w:lang w:val="fr-FR"/>
        </w:rPr>
        <w:t>Smart-IB</w:t>
      </w:r>
      <w:proofErr w:type="spellEnd"/>
      <w:r w:rsidRPr="0072175F">
        <w:rPr>
          <w:rFonts w:ascii="Arial" w:hAnsi="Arial" w:cs="Arial"/>
          <w:lang w:val="fr-FR"/>
        </w:rPr>
        <w:t xml:space="preserve"> est appliquée et on obtient le résultat mensuel brut et en soustrayant les dépenses fixes qui ont été établies pour l'année, une prévision du résultat est obtenue pour chaque mois.</w:t>
      </w:r>
    </w:p>
    <w:p w14:paraId="40F9AAA2" w14:textId="721E1759" w:rsidR="00311F13" w:rsidRPr="00D772BF" w:rsidRDefault="00311F13" w:rsidP="001600C3">
      <w:pPr>
        <w:jc w:val="both"/>
        <w:rPr>
          <w:rFonts w:ascii="Arial" w:hAnsi="Arial" w:cs="Arial"/>
        </w:rPr>
        <w:sectPr w:rsidR="00311F13" w:rsidRPr="00D772BF" w:rsidSect="00D772BF">
          <w:pgSz w:w="16838" w:h="11906" w:orient="landscape"/>
          <w:pgMar w:top="1701" w:right="1418" w:bottom="1701" w:left="1418" w:header="709" w:footer="709" w:gutter="0"/>
          <w:cols w:space="708"/>
          <w:docGrid w:linePitch="360"/>
        </w:sectPr>
      </w:pPr>
    </w:p>
    <w:p w14:paraId="68FD18AA" w14:textId="63CD18B0" w:rsidR="00790684" w:rsidRPr="0072175F" w:rsidRDefault="001600C3" w:rsidP="001600C3">
      <w:pPr>
        <w:jc w:val="center"/>
        <w:rPr>
          <w:rFonts w:ascii="Arial" w:hAnsi="Arial" w:cs="Arial"/>
          <w:b/>
          <w:bCs/>
        </w:rPr>
      </w:pPr>
      <w:r w:rsidRPr="0072175F">
        <w:rPr>
          <w:rFonts w:ascii="Arial" w:hAnsi="Arial" w:cs="Arial"/>
          <w:b/>
          <w:bCs/>
        </w:rPr>
        <w:lastRenderedPageBreak/>
        <w:t>TESORERÍA AL 31 DE ENERO DE 2021</w:t>
      </w:r>
    </w:p>
    <w:p w14:paraId="5B269701" w14:textId="77777777" w:rsidR="006D59DC" w:rsidRPr="0072175F" w:rsidRDefault="006D59DC" w:rsidP="006D59DC">
      <w:pPr>
        <w:rPr>
          <w:rFonts w:ascii="Arial" w:hAnsi="Arial" w:cs="Arial"/>
          <w:b/>
          <w:bCs/>
        </w:rPr>
      </w:pPr>
      <w:r w:rsidRPr="006D59DC">
        <w:rPr>
          <w:noProof/>
        </w:rPr>
        <w:drawing>
          <wp:anchor distT="0" distB="0" distL="114300" distR="114300" simplePos="0" relativeHeight="251662336" behindDoc="0" locked="0" layoutInCell="1" allowOverlap="1" wp14:anchorId="746249E8" wp14:editId="5F999941">
            <wp:simplePos x="0" y="0"/>
            <wp:positionH relativeFrom="column">
              <wp:posOffset>875665</wp:posOffset>
            </wp:positionH>
            <wp:positionV relativeFrom="paragraph">
              <wp:posOffset>8255</wp:posOffset>
            </wp:positionV>
            <wp:extent cx="3625850" cy="5490210"/>
            <wp:effectExtent l="0" t="0" r="0" b="0"/>
            <wp:wrapThrough wrapText="bothSides">
              <wp:wrapPolygon edited="0">
                <wp:start x="0" y="0"/>
                <wp:lineTo x="0" y="21510"/>
                <wp:lineTo x="21449" y="21510"/>
                <wp:lineTo x="21449" y="19711"/>
                <wp:lineTo x="20541" y="19561"/>
                <wp:lineTo x="14753" y="19187"/>
                <wp:lineTo x="21449" y="19112"/>
                <wp:lineTo x="21449" y="18437"/>
                <wp:lineTo x="14753" y="17988"/>
                <wp:lineTo x="21449" y="17913"/>
                <wp:lineTo x="21449" y="14465"/>
                <wp:lineTo x="21222" y="14390"/>
                <wp:lineTo x="17931" y="14390"/>
                <wp:lineTo x="21449" y="13790"/>
                <wp:lineTo x="21449" y="10942"/>
                <wp:lineTo x="18839" y="10793"/>
                <wp:lineTo x="21449" y="10343"/>
                <wp:lineTo x="21449" y="6895"/>
                <wp:lineTo x="14753" y="5996"/>
                <wp:lineTo x="19633" y="5996"/>
                <wp:lineTo x="21449" y="5696"/>
                <wp:lineTo x="21449" y="1274"/>
                <wp:lineTo x="14980" y="1199"/>
                <wp:lineTo x="21449" y="75"/>
                <wp:lineTo x="21449" y="0"/>
                <wp:lineTo x="0" y="0"/>
              </wp:wrapPolygon>
            </wp:wrapThrough>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25850" cy="54902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2175F">
        <w:rPr>
          <w:rFonts w:ascii="Arial" w:hAnsi="Arial" w:cs="Arial"/>
          <w:b/>
          <w:bCs/>
        </w:rPr>
        <w:tab/>
      </w:r>
      <w:r w:rsidRPr="0072175F">
        <w:rPr>
          <w:rFonts w:ascii="Arial" w:hAnsi="Arial" w:cs="Arial"/>
          <w:b/>
          <w:bCs/>
        </w:rPr>
        <w:tab/>
      </w:r>
    </w:p>
    <w:p w14:paraId="17AE87DF" w14:textId="77777777" w:rsidR="006D59DC" w:rsidRPr="0072175F" w:rsidRDefault="006D59DC" w:rsidP="006D59DC">
      <w:pPr>
        <w:rPr>
          <w:rFonts w:ascii="Arial" w:hAnsi="Arial" w:cs="Arial"/>
          <w:b/>
          <w:bCs/>
        </w:rPr>
      </w:pPr>
    </w:p>
    <w:p w14:paraId="00015B53" w14:textId="77777777" w:rsidR="006D59DC" w:rsidRPr="0072175F" w:rsidRDefault="006D59DC" w:rsidP="006D59DC">
      <w:pPr>
        <w:rPr>
          <w:rFonts w:ascii="Arial" w:hAnsi="Arial" w:cs="Arial"/>
          <w:b/>
          <w:bCs/>
        </w:rPr>
      </w:pPr>
    </w:p>
    <w:p w14:paraId="1530D6BC" w14:textId="77777777" w:rsidR="006D59DC" w:rsidRPr="0072175F" w:rsidRDefault="006D59DC" w:rsidP="006D59DC">
      <w:pPr>
        <w:rPr>
          <w:rFonts w:ascii="Arial" w:hAnsi="Arial" w:cs="Arial"/>
          <w:b/>
          <w:bCs/>
        </w:rPr>
      </w:pPr>
    </w:p>
    <w:p w14:paraId="6484F155" w14:textId="77777777" w:rsidR="006D59DC" w:rsidRPr="0072175F" w:rsidRDefault="006D59DC" w:rsidP="006D59DC">
      <w:pPr>
        <w:rPr>
          <w:rFonts w:ascii="Arial" w:hAnsi="Arial" w:cs="Arial"/>
          <w:b/>
          <w:bCs/>
        </w:rPr>
      </w:pPr>
    </w:p>
    <w:p w14:paraId="2638FFA4" w14:textId="77777777" w:rsidR="006D59DC" w:rsidRPr="0072175F" w:rsidRDefault="006D59DC" w:rsidP="006D59DC">
      <w:pPr>
        <w:rPr>
          <w:rFonts w:ascii="Arial" w:hAnsi="Arial" w:cs="Arial"/>
          <w:b/>
          <w:bCs/>
        </w:rPr>
      </w:pPr>
    </w:p>
    <w:p w14:paraId="5999BC13" w14:textId="77777777" w:rsidR="006D59DC" w:rsidRPr="0072175F" w:rsidRDefault="006D59DC" w:rsidP="006D59DC">
      <w:pPr>
        <w:rPr>
          <w:rFonts w:ascii="Arial" w:hAnsi="Arial" w:cs="Arial"/>
          <w:b/>
          <w:bCs/>
        </w:rPr>
      </w:pPr>
    </w:p>
    <w:p w14:paraId="628D07E6" w14:textId="77777777" w:rsidR="006D59DC" w:rsidRPr="0072175F" w:rsidRDefault="006D59DC" w:rsidP="006D59DC">
      <w:pPr>
        <w:rPr>
          <w:rFonts w:ascii="Arial" w:hAnsi="Arial" w:cs="Arial"/>
          <w:b/>
          <w:bCs/>
        </w:rPr>
      </w:pPr>
    </w:p>
    <w:p w14:paraId="3D2BB2D7" w14:textId="77777777" w:rsidR="006D59DC" w:rsidRPr="0072175F" w:rsidRDefault="006D59DC" w:rsidP="006D59DC">
      <w:pPr>
        <w:rPr>
          <w:rFonts w:ascii="Arial" w:hAnsi="Arial" w:cs="Arial"/>
          <w:b/>
          <w:bCs/>
        </w:rPr>
      </w:pPr>
    </w:p>
    <w:p w14:paraId="43D1B8F2" w14:textId="77777777" w:rsidR="006D59DC" w:rsidRPr="0072175F" w:rsidRDefault="006D59DC" w:rsidP="006D59DC">
      <w:pPr>
        <w:rPr>
          <w:rFonts w:ascii="Arial" w:hAnsi="Arial" w:cs="Arial"/>
          <w:b/>
          <w:bCs/>
        </w:rPr>
      </w:pPr>
    </w:p>
    <w:p w14:paraId="24A82994" w14:textId="77777777" w:rsidR="006D59DC" w:rsidRPr="0072175F" w:rsidRDefault="006D59DC" w:rsidP="006D59DC">
      <w:pPr>
        <w:rPr>
          <w:rFonts w:ascii="Arial" w:hAnsi="Arial" w:cs="Arial"/>
          <w:b/>
          <w:bCs/>
        </w:rPr>
      </w:pPr>
    </w:p>
    <w:p w14:paraId="2B9731A0" w14:textId="77777777" w:rsidR="006D59DC" w:rsidRPr="0072175F" w:rsidRDefault="006D59DC" w:rsidP="006D59DC">
      <w:pPr>
        <w:rPr>
          <w:rFonts w:ascii="Arial" w:hAnsi="Arial" w:cs="Arial"/>
          <w:b/>
          <w:bCs/>
        </w:rPr>
      </w:pPr>
    </w:p>
    <w:p w14:paraId="545A1156" w14:textId="77777777" w:rsidR="006D59DC" w:rsidRPr="0072175F" w:rsidRDefault="006D59DC" w:rsidP="006D59DC">
      <w:pPr>
        <w:rPr>
          <w:rFonts w:ascii="Arial" w:hAnsi="Arial" w:cs="Arial"/>
          <w:b/>
          <w:bCs/>
        </w:rPr>
      </w:pPr>
    </w:p>
    <w:p w14:paraId="2ED5ACA1" w14:textId="77777777" w:rsidR="006D59DC" w:rsidRPr="0072175F" w:rsidRDefault="006D59DC" w:rsidP="006D59DC">
      <w:pPr>
        <w:rPr>
          <w:rFonts w:ascii="Arial" w:hAnsi="Arial" w:cs="Arial"/>
          <w:b/>
          <w:bCs/>
        </w:rPr>
      </w:pPr>
    </w:p>
    <w:p w14:paraId="4B4AE9E2" w14:textId="77777777" w:rsidR="006D59DC" w:rsidRPr="0072175F" w:rsidRDefault="006D59DC" w:rsidP="006D59DC">
      <w:pPr>
        <w:rPr>
          <w:rFonts w:ascii="Arial" w:hAnsi="Arial" w:cs="Arial"/>
          <w:b/>
          <w:bCs/>
        </w:rPr>
      </w:pPr>
    </w:p>
    <w:p w14:paraId="2B12B347" w14:textId="77777777" w:rsidR="006D59DC" w:rsidRPr="0072175F" w:rsidRDefault="006D59DC" w:rsidP="006D59DC">
      <w:pPr>
        <w:rPr>
          <w:rFonts w:ascii="Arial" w:hAnsi="Arial" w:cs="Arial"/>
          <w:b/>
          <w:bCs/>
        </w:rPr>
      </w:pPr>
    </w:p>
    <w:p w14:paraId="1BE30E98" w14:textId="77777777" w:rsidR="006D59DC" w:rsidRPr="0072175F" w:rsidRDefault="006D59DC" w:rsidP="006D59DC">
      <w:pPr>
        <w:rPr>
          <w:rFonts w:ascii="Arial" w:hAnsi="Arial" w:cs="Arial"/>
          <w:b/>
          <w:bCs/>
        </w:rPr>
      </w:pPr>
    </w:p>
    <w:p w14:paraId="37D35F85" w14:textId="77777777" w:rsidR="006D59DC" w:rsidRPr="0072175F" w:rsidRDefault="006D59DC" w:rsidP="006D59DC">
      <w:pPr>
        <w:rPr>
          <w:rFonts w:ascii="Arial" w:hAnsi="Arial" w:cs="Arial"/>
          <w:b/>
          <w:bCs/>
        </w:rPr>
      </w:pPr>
    </w:p>
    <w:p w14:paraId="1759887B" w14:textId="77777777" w:rsidR="006D59DC" w:rsidRPr="0072175F" w:rsidRDefault="006D59DC" w:rsidP="006D59DC">
      <w:pPr>
        <w:rPr>
          <w:rFonts w:ascii="Arial" w:hAnsi="Arial" w:cs="Arial"/>
          <w:b/>
          <w:bCs/>
        </w:rPr>
      </w:pPr>
    </w:p>
    <w:p w14:paraId="7D723DEC" w14:textId="77777777" w:rsidR="006D59DC" w:rsidRPr="0072175F" w:rsidRDefault="006D59DC" w:rsidP="006D59DC">
      <w:pPr>
        <w:rPr>
          <w:rFonts w:ascii="Arial" w:hAnsi="Arial" w:cs="Arial"/>
          <w:b/>
          <w:bCs/>
        </w:rPr>
      </w:pPr>
    </w:p>
    <w:p w14:paraId="017C8040" w14:textId="77777777" w:rsidR="006D59DC" w:rsidRPr="0072175F" w:rsidRDefault="006D59DC" w:rsidP="006D59DC">
      <w:pPr>
        <w:rPr>
          <w:rFonts w:ascii="Arial" w:hAnsi="Arial" w:cs="Arial"/>
          <w:b/>
          <w:bCs/>
        </w:rPr>
      </w:pPr>
    </w:p>
    <w:p w14:paraId="30EE876A" w14:textId="3B4ED7D7" w:rsidR="006D59DC" w:rsidRPr="0072175F" w:rsidRDefault="006D59DC" w:rsidP="006D59DC">
      <w:pPr>
        <w:rPr>
          <w:rFonts w:ascii="Arial" w:hAnsi="Arial" w:cs="Arial"/>
          <w:b/>
          <w:bCs/>
          <w:lang w:val="fr-FR"/>
        </w:rPr>
      </w:pPr>
      <w:r w:rsidRPr="0072175F">
        <w:rPr>
          <w:rFonts w:ascii="Arial" w:hAnsi="Arial" w:cs="Arial"/>
          <w:b/>
          <w:bCs/>
          <w:lang w:val="fr-FR"/>
        </w:rPr>
        <w:t>L</w:t>
      </w:r>
      <w:r w:rsidR="0072175F" w:rsidRPr="0072175F">
        <w:rPr>
          <w:rFonts w:ascii="Arial" w:hAnsi="Arial" w:cs="Arial"/>
          <w:b/>
          <w:bCs/>
          <w:lang w:val="fr-FR"/>
        </w:rPr>
        <w:t xml:space="preserve">es soldes des banques sont les suivants </w:t>
      </w:r>
      <w:r w:rsidRPr="0072175F">
        <w:rPr>
          <w:rFonts w:ascii="Arial" w:hAnsi="Arial" w:cs="Arial"/>
          <w:b/>
          <w:bCs/>
          <w:lang w:val="fr-FR"/>
        </w:rPr>
        <w:t>:</w:t>
      </w:r>
    </w:p>
    <w:tbl>
      <w:tblPr>
        <w:tblW w:w="5580" w:type="dxa"/>
        <w:tblCellMar>
          <w:left w:w="70" w:type="dxa"/>
          <w:right w:w="70" w:type="dxa"/>
        </w:tblCellMar>
        <w:tblLook w:val="04A0" w:firstRow="1" w:lastRow="0" w:firstColumn="1" w:lastColumn="0" w:noHBand="0" w:noVBand="1"/>
      </w:tblPr>
      <w:tblGrid>
        <w:gridCol w:w="3800"/>
        <w:gridCol w:w="1780"/>
      </w:tblGrid>
      <w:tr w:rsidR="006D59DC" w:rsidRPr="006D59DC" w14:paraId="7C5E4EFC" w14:textId="77777777" w:rsidTr="006D59DC">
        <w:trPr>
          <w:trHeight w:val="290"/>
        </w:trPr>
        <w:tc>
          <w:tcPr>
            <w:tcW w:w="3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AC6F5E" w14:textId="77777777" w:rsidR="006D59DC" w:rsidRPr="006D59DC" w:rsidRDefault="006D59DC" w:rsidP="006D59DC">
            <w:pPr>
              <w:spacing w:after="0" w:line="240" w:lineRule="auto"/>
              <w:rPr>
                <w:rFonts w:ascii="Calibri" w:eastAsia="Times New Roman" w:hAnsi="Calibri" w:cs="Calibri"/>
                <w:color w:val="000000"/>
                <w:lang w:eastAsia="es-ES"/>
              </w:rPr>
            </w:pPr>
            <w:r w:rsidRPr="006D59DC">
              <w:rPr>
                <w:rFonts w:ascii="Calibri" w:eastAsia="Times New Roman" w:hAnsi="Calibri" w:cs="Calibri"/>
                <w:color w:val="000000"/>
                <w:lang w:eastAsia="es-ES"/>
              </w:rPr>
              <w:t>BMN - BANKIA</w:t>
            </w:r>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3C3946CF" w14:textId="77777777" w:rsidR="006D59DC" w:rsidRPr="006D59DC" w:rsidRDefault="006D59DC" w:rsidP="006D59DC">
            <w:pPr>
              <w:spacing w:after="0" w:line="240" w:lineRule="auto"/>
              <w:jc w:val="right"/>
              <w:rPr>
                <w:rFonts w:ascii="Calibri" w:eastAsia="Times New Roman" w:hAnsi="Calibri" w:cs="Calibri"/>
                <w:color w:val="000000"/>
                <w:lang w:eastAsia="es-ES"/>
              </w:rPr>
            </w:pPr>
            <w:r w:rsidRPr="006D59DC">
              <w:rPr>
                <w:rFonts w:ascii="Calibri" w:eastAsia="Times New Roman" w:hAnsi="Calibri" w:cs="Calibri"/>
                <w:color w:val="000000"/>
                <w:lang w:eastAsia="es-ES"/>
              </w:rPr>
              <w:t>13.418,20</w:t>
            </w:r>
          </w:p>
        </w:tc>
      </w:tr>
      <w:tr w:rsidR="006D59DC" w:rsidRPr="006D59DC" w14:paraId="3D32B211" w14:textId="77777777" w:rsidTr="006D59DC">
        <w:trPr>
          <w:trHeight w:val="290"/>
        </w:trPr>
        <w:tc>
          <w:tcPr>
            <w:tcW w:w="3800" w:type="dxa"/>
            <w:tcBorders>
              <w:top w:val="nil"/>
              <w:left w:val="single" w:sz="4" w:space="0" w:color="auto"/>
              <w:bottom w:val="single" w:sz="4" w:space="0" w:color="auto"/>
              <w:right w:val="single" w:sz="4" w:space="0" w:color="auto"/>
            </w:tcBorders>
            <w:shd w:val="clear" w:color="auto" w:fill="auto"/>
            <w:noWrap/>
            <w:vAlign w:val="bottom"/>
            <w:hideMark/>
          </w:tcPr>
          <w:p w14:paraId="490906F1" w14:textId="77777777" w:rsidR="006D59DC" w:rsidRPr="006D59DC" w:rsidRDefault="006D59DC" w:rsidP="006D59DC">
            <w:pPr>
              <w:spacing w:after="0" w:line="240" w:lineRule="auto"/>
              <w:rPr>
                <w:rFonts w:ascii="Calibri" w:eastAsia="Times New Roman" w:hAnsi="Calibri" w:cs="Calibri"/>
                <w:color w:val="000000"/>
                <w:lang w:eastAsia="es-ES"/>
              </w:rPr>
            </w:pPr>
            <w:r w:rsidRPr="006D59DC">
              <w:rPr>
                <w:rFonts w:ascii="Calibri" w:eastAsia="Times New Roman" w:hAnsi="Calibri" w:cs="Calibri"/>
                <w:color w:val="000000"/>
                <w:lang w:eastAsia="es-ES"/>
              </w:rPr>
              <w:t>CAIXA</w:t>
            </w:r>
          </w:p>
        </w:tc>
        <w:tc>
          <w:tcPr>
            <w:tcW w:w="1780" w:type="dxa"/>
            <w:tcBorders>
              <w:top w:val="nil"/>
              <w:left w:val="nil"/>
              <w:bottom w:val="single" w:sz="4" w:space="0" w:color="auto"/>
              <w:right w:val="single" w:sz="4" w:space="0" w:color="auto"/>
            </w:tcBorders>
            <w:shd w:val="clear" w:color="auto" w:fill="auto"/>
            <w:noWrap/>
            <w:vAlign w:val="bottom"/>
            <w:hideMark/>
          </w:tcPr>
          <w:p w14:paraId="7A5C2CE1" w14:textId="77777777" w:rsidR="006D59DC" w:rsidRPr="006D59DC" w:rsidRDefault="006D59DC" w:rsidP="006D59DC">
            <w:pPr>
              <w:spacing w:after="0" w:line="240" w:lineRule="auto"/>
              <w:jc w:val="right"/>
              <w:rPr>
                <w:rFonts w:ascii="Calibri" w:eastAsia="Times New Roman" w:hAnsi="Calibri" w:cs="Calibri"/>
                <w:color w:val="000000"/>
                <w:lang w:eastAsia="es-ES"/>
              </w:rPr>
            </w:pPr>
            <w:r w:rsidRPr="006D59DC">
              <w:rPr>
                <w:rFonts w:ascii="Calibri" w:eastAsia="Times New Roman" w:hAnsi="Calibri" w:cs="Calibri"/>
                <w:color w:val="000000"/>
                <w:lang w:eastAsia="es-ES"/>
              </w:rPr>
              <w:t>5.727,97</w:t>
            </w:r>
          </w:p>
        </w:tc>
      </w:tr>
      <w:tr w:rsidR="006D59DC" w:rsidRPr="006D59DC" w14:paraId="4A7B0605" w14:textId="77777777" w:rsidTr="006D59DC">
        <w:trPr>
          <w:trHeight w:val="290"/>
        </w:trPr>
        <w:tc>
          <w:tcPr>
            <w:tcW w:w="3800" w:type="dxa"/>
            <w:tcBorders>
              <w:top w:val="nil"/>
              <w:left w:val="single" w:sz="4" w:space="0" w:color="auto"/>
              <w:bottom w:val="single" w:sz="4" w:space="0" w:color="auto"/>
              <w:right w:val="single" w:sz="4" w:space="0" w:color="auto"/>
            </w:tcBorders>
            <w:shd w:val="clear" w:color="auto" w:fill="auto"/>
            <w:noWrap/>
            <w:vAlign w:val="bottom"/>
            <w:hideMark/>
          </w:tcPr>
          <w:p w14:paraId="5CE6199B" w14:textId="77777777" w:rsidR="006D59DC" w:rsidRPr="006D59DC" w:rsidRDefault="006D59DC" w:rsidP="006D59DC">
            <w:pPr>
              <w:spacing w:after="0" w:line="240" w:lineRule="auto"/>
              <w:rPr>
                <w:rFonts w:ascii="Calibri" w:eastAsia="Times New Roman" w:hAnsi="Calibri" w:cs="Calibri"/>
                <w:color w:val="000000"/>
                <w:lang w:eastAsia="es-ES"/>
              </w:rPr>
            </w:pPr>
            <w:r w:rsidRPr="006D59DC">
              <w:rPr>
                <w:rFonts w:ascii="Calibri" w:eastAsia="Times New Roman" w:hAnsi="Calibri" w:cs="Calibri"/>
                <w:color w:val="000000"/>
                <w:lang w:eastAsia="es-ES"/>
              </w:rPr>
              <w:t>SABADELL</w:t>
            </w:r>
          </w:p>
        </w:tc>
        <w:tc>
          <w:tcPr>
            <w:tcW w:w="1780" w:type="dxa"/>
            <w:tcBorders>
              <w:top w:val="nil"/>
              <w:left w:val="nil"/>
              <w:bottom w:val="single" w:sz="4" w:space="0" w:color="auto"/>
              <w:right w:val="single" w:sz="4" w:space="0" w:color="auto"/>
            </w:tcBorders>
            <w:shd w:val="clear" w:color="auto" w:fill="auto"/>
            <w:vAlign w:val="bottom"/>
            <w:hideMark/>
          </w:tcPr>
          <w:p w14:paraId="02712A93" w14:textId="77777777" w:rsidR="006D59DC" w:rsidRPr="006D59DC" w:rsidRDefault="006D59DC" w:rsidP="006D59DC">
            <w:pPr>
              <w:spacing w:after="0" w:line="240" w:lineRule="auto"/>
              <w:jc w:val="right"/>
              <w:rPr>
                <w:rFonts w:ascii="Calibri" w:eastAsia="Times New Roman" w:hAnsi="Calibri" w:cs="Calibri"/>
                <w:color w:val="000000"/>
                <w:lang w:eastAsia="es-ES"/>
              </w:rPr>
            </w:pPr>
            <w:r w:rsidRPr="006D59DC">
              <w:rPr>
                <w:rFonts w:ascii="Calibri" w:eastAsia="Times New Roman" w:hAnsi="Calibri" w:cs="Calibri"/>
                <w:color w:val="000000"/>
                <w:lang w:eastAsia="es-ES"/>
              </w:rPr>
              <w:t>2.577,54</w:t>
            </w:r>
          </w:p>
        </w:tc>
      </w:tr>
      <w:tr w:rsidR="006D59DC" w:rsidRPr="006D59DC" w14:paraId="6F67A52D" w14:textId="77777777" w:rsidTr="006D59DC">
        <w:trPr>
          <w:trHeight w:val="290"/>
        </w:trPr>
        <w:tc>
          <w:tcPr>
            <w:tcW w:w="3800" w:type="dxa"/>
            <w:tcBorders>
              <w:top w:val="nil"/>
              <w:left w:val="single" w:sz="4" w:space="0" w:color="auto"/>
              <w:bottom w:val="single" w:sz="4" w:space="0" w:color="auto"/>
              <w:right w:val="single" w:sz="4" w:space="0" w:color="auto"/>
            </w:tcBorders>
            <w:shd w:val="clear" w:color="auto" w:fill="auto"/>
            <w:noWrap/>
            <w:vAlign w:val="bottom"/>
            <w:hideMark/>
          </w:tcPr>
          <w:p w14:paraId="6CA2C5A2" w14:textId="77777777" w:rsidR="006D59DC" w:rsidRPr="006D59DC" w:rsidRDefault="006D59DC" w:rsidP="006D59DC">
            <w:pPr>
              <w:spacing w:after="0" w:line="240" w:lineRule="auto"/>
              <w:rPr>
                <w:rFonts w:ascii="Calibri" w:eastAsia="Times New Roman" w:hAnsi="Calibri" w:cs="Calibri"/>
                <w:color w:val="000000"/>
                <w:lang w:eastAsia="es-ES"/>
              </w:rPr>
            </w:pPr>
            <w:r w:rsidRPr="006D59DC">
              <w:rPr>
                <w:rFonts w:ascii="Calibri" w:eastAsia="Times New Roman" w:hAnsi="Calibri" w:cs="Calibri"/>
                <w:color w:val="000000"/>
                <w:lang w:eastAsia="es-ES"/>
              </w:rPr>
              <w:t>FIARE (DISPONIBLE)</w:t>
            </w:r>
          </w:p>
        </w:tc>
        <w:tc>
          <w:tcPr>
            <w:tcW w:w="1780" w:type="dxa"/>
            <w:tcBorders>
              <w:top w:val="nil"/>
              <w:left w:val="nil"/>
              <w:bottom w:val="nil"/>
              <w:right w:val="nil"/>
            </w:tcBorders>
            <w:shd w:val="clear" w:color="auto" w:fill="auto"/>
            <w:vAlign w:val="bottom"/>
            <w:hideMark/>
          </w:tcPr>
          <w:p w14:paraId="3B84C433" w14:textId="77777777" w:rsidR="006D59DC" w:rsidRPr="006D59DC" w:rsidRDefault="006D59DC" w:rsidP="006D59DC">
            <w:pPr>
              <w:spacing w:after="0" w:line="240" w:lineRule="auto"/>
              <w:jc w:val="right"/>
              <w:rPr>
                <w:rFonts w:ascii="Calibri" w:eastAsia="Times New Roman" w:hAnsi="Calibri" w:cs="Calibri"/>
                <w:color w:val="000000"/>
                <w:lang w:eastAsia="es-ES"/>
              </w:rPr>
            </w:pPr>
            <w:r w:rsidRPr="006D59DC">
              <w:rPr>
                <w:rFonts w:ascii="Calibri" w:eastAsia="Times New Roman" w:hAnsi="Calibri" w:cs="Calibri"/>
                <w:color w:val="000000"/>
                <w:lang w:eastAsia="es-ES"/>
              </w:rPr>
              <w:t>126.475,69</w:t>
            </w:r>
          </w:p>
        </w:tc>
      </w:tr>
      <w:tr w:rsidR="006D59DC" w:rsidRPr="006D59DC" w14:paraId="2D95C391" w14:textId="77777777" w:rsidTr="006D59DC">
        <w:trPr>
          <w:trHeight w:val="420"/>
        </w:trPr>
        <w:tc>
          <w:tcPr>
            <w:tcW w:w="3800" w:type="dxa"/>
            <w:tcBorders>
              <w:top w:val="nil"/>
              <w:left w:val="single" w:sz="4" w:space="0" w:color="auto"/>
              <w:bottom w:val="single" w:sz="4" w:space="0" w:color="auto"/>
              <w:right w:val="single" w:sz="4" w:space="0" w:color="auto"/>
            </w:tcBorders>
            <w:shd w:val="clear" w:color="auto" w:fill="auto"/>
            <w:noWrap/>
            <w:vAlign w:val="bottom"/>
            <w:hideMark/>
          </w:tcPr>
          <w:p w14:paraId="7638A894" w14:textId="047AA830" w:rsidR="006D59DC" w:rsidRPr="006D59DC" w:rsidRDefault="006D59DC" w:rsidP="006D59DC">
            <w:pPr>
              <w:spacing w:after="0" w:line="240" w:lineRule="auto"/>
              <w:rPr>
                <w:rFonts w:ascii="Calibri" w:eastAsia="Times New Roman" w:hAnsi="Calibri" w:cs="Calibri"/>
                <w:b/>
                <w:bCs/>
                <w:color w:val="000000"/>
                <w:lang w:eastAsia="es-ES"/>
              </w:rPr>
            </w:pPr>
            <w:proofErr w:type="gramStart"/>
            <w:r w:rsidRPr="006D59DC">
              <w:rPr>
                <w:rFonts w:ascii="Calibri" w:eastAsia="Times New Roman" w:hAnsi="Calibri" w:cs="Calibri"/>
                <w:b/>
                <w:bCs/>
                <w:color w:val="000000"/>
                <w:lang w:eastAsia="es-ES"/>
              </w:rPr>
              <w:t>TOTAL</w:t>
            </w:r>
            <w:proofErr w:type="gramEnd"/>
            <w:r w:rsidRPr="006D59DC">
              <w:rPr>
                <w:rFonts w:ascii="Calibri" w:eastAsia="Times New Roman" w:hAnsi="Calibri" w:cs="Calibri"/>
                <w:b/>
                <w:bCs/>
                <w:color w:val="000000"/>
                <w:lang w:eastAsia="es-ES"/>
              </w:rPr>
              <w:t xml:space="preserve"> </w:t>
            </w:r>
            <w:r w:rsidR="0072175F">
              <w:rPr>
                <w:rFonts w:ascii="Calibri" w:eastAsia="Times New Roman" w:hAnsi="Calibri" w:cs="Calibri"/>
                <w:b/>
                <w:bCs/>
                <w:color w:val="000000"/>
                <w:lang w:eastAsia="es-ES"/>
              </w:rPr>
              <w:t>COOPÉRATIVE</w:t>
            </w:r>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76A83212" w14:textId="77777777" w:rsidR="006D59DC" w:rsidRPr="006D59DC" w:rsidRDefault="006D59DC" w:rsidP="006D59DC">
            <w:pPr>
              <w:spacing w:after="0" w:line="240" w:lineRule="auto"/>
              <w:jc w:val="right"/>
              <w:rPr>
                <w:rFonts w:ascii="Calibri" w:eastAsia="Times New Roman" w:hAnsi="Calibri" w:cs="Calibri"/>
                <w:b/>
                <w:bCs/>
                <w:color w:val="000000"/>
                <w:lang w:eastAsia="es-ES"/>
              </w:rPr>
            </w:pPr>
            <w:r w:rsidRPr="006D59DC">
              <w:rPr>
                <w:rFonts w:ascii="Calibri" w:eastAsia="Times New Roman" w:hAnsi="Calibri" w:cs="Calibri"/>
                <w:b/>
                <w:bCs/>
                <w:color w:val="000000"/>
                <w:lang w:eastAsia="es-ES"/>
              </w:rPr>
              <w:t>148.199,40</w:t>
            </w:r>
          </w:p>
        </w:tc>
      </w:tr>
    </w:tbl>
    <w:p w14:paraId="174A4024" w14:textId="77777777" w:rsidR="006D59DC" w:rsidRDefault="006D59DC" w:rsidP="006D59DC">
      <w:pPr>
        <w:rPr>
          <w:rFonts w:ascii="Arial" w:hAnsi="Arial" w:cs="Arial"/>
          <w:b/>
          <w:bCs/>
        </w:rPr>
      </w:pPr>
    </w:p>
    <w:p w14:paraId="4C4EB3B9" w14:textId="475C0FB1" w:rsidR="00221370" w:rsidRPr="00221370" w:rsidRDefault="00221370" w:rsidP="006D59DC">
      <w:pPr>
        <w:rPr>
          <w:rFonts w:ascii="Arial" w:hAnsi="Arial" w:cs="Arial"/>
          <w:lang w:val="fr-FR"/>
        </w:rPr>
      </w:pPr>
      <w:r w:rsidRPr="00221370">
        <w:rPr>
          <w:rFonts w:ascii="Arial" w:hAnsi="Arial" w:cs="Arial"/>
          <w:lang w:val="fr-FR"/>
        </w:rPr>
        <w:t>La prévision de re</w:t>
      </w:r>
      <w:r>
        <w:rPr>
          <w:rFonts w:ascii="Arial" w:hAnsi="Arial" w:cs="Arial"/>
          <w:lang w:val="fr-FR"/>
        </w:rPr>
        <w:t>ntrées</w:t>
      </w:r>
      <w:r w:rsidRPr="00221370">
        <w:rPr>
          <w:rFonts w:ascii="Arial" w:hAnsi="Arial" w:cs="Arial"/>
          <w:lang w:val="fr-FR"/>
        </w:rPr>
        <w:t xml:space="preserve"> est obtenue en multipliant les 15 jours ouvrés restants en janvier par 16 000 € par jour </w:t>
      </w:r>
      <w:r>
        <w:rPr>
          <w:rFonts w:ascii="Arial" w:hAnsi="Arial" w:cs="Arial"/>
          <w:lang w:val="fr-FR"/>
        </w:rPr>
        <w:t>de rentrées</w:t>
      </w:r>
      <w:r w:rsidRPr="00221370">
        <w:rPr>
          <w:rFonts w:ascii="Arial" w:hAnsi="Arial" w:cs="Arial"/>
          <w:lang w:val="fr-FR"/>
        </w:rPr>
        <w:t>.</w:t>
      </w:r>
    </w:p>
    <w:p w14:paraId="359CD3F6" w14:textId="4A6DE6CD" w:rsidR="006D59DC" w:rsidRPr="00221370" w:rsidRDefault="00221370" w:rsidP="006D59DC">
      <w:pPr>
        <w:rPr>
          <w:rFonts w:ascii="Arial" w:hAnsi="Arial" w:cs="Arial"/>
          <w:b/>
          <w:bCs/>
          <w:lang w:val="fr-FR"/>
        </w:rPr>
      </w:pPr>
      <w:r w:rsidRPr="00221370">
        <w:rPr>
          <w:rFonts w:ascii="Arial" w:hAnsi="Arial" w:cs="Arial"/>
          <w:lang w:val="fr-FR"/>
        </w:rPr>
        <w:t xml:space="preserve">Les impôts, la sécurité sociale et les dépenses </w:t>
      </w:r>
      <w:r>
        <w:rPr>
          <w:rFonts w:ascii="Arial" w:hAnsi="Arial" w:cs="Arial"/>
          <w:lang w:val="fr-FR"/>
        </w:rPr>
        <w:t>c’est ce que nous devons</w:t>
      </w:r>
      <w:r w:rsidRPr="00221370">
        <w:rPr>
          <w:rFonts w:ascii="Arial" w:hAnsi="Arial" w:cs="Arial"/>
          <w:lang w:val="fr-FR"/>
        </w:rPr>
        <w:t xml:space="preserve"> payer pendant ce mois de janvier. En additionnant les charges attendues au solde courant des banques et en soustrayant ce qui doit être payé, on obtient la trésorerie immédiate du 31 janvier.</w:t>
      </w:r>
    </w:p>
    <w:p w14:paraId="29CF6D95" w14:textId="6E56292C" w:rsidR="006D59DC" w:rsidRPr="00173BD7" w:rsidRDefault="001103B4" w:rsidP="006D59DC">
      <w:pPr>
        <w:jc w:val="center"/>
        <w:rPr>
          <w:rFonts w:ascii="Arial" w:hAnsi="Arial" w:cs="Arial"/>
          <w:b/>
          <w:bCs/>
          <w:lang w:val="fr-FR"/>
        </w:rPr>
      </w:pPr>
      <w:r w:rsidRPr="001103B4">
        <w:rPr>
          <w:noProof/>
        </w:rPr>
        <w:lastRenderedPageBreak/>
        <w:drawing>
          <wp:anchor distT="0" distB="0" distL="114300" distR="114300" simplePos="0" relativeHeight="251663360" behindDoc="0" locked="0" layoutInCell="1" allowOverlap="1" wp14:anchorId="35A3A342" wp14:editId="17B28ABB">
            <wp:simplePos x="0" y="0"/>
            <wp:positionH relativeFrom="column">
              <wp:posOffset>417830</wp:posOffset>
            </wp:positionH>
            <wp:positionV relativeFrom="paragraph">
              <wp:posOffset>274320</wp:posOffset>
            </wp:positionV>
            <wp:extent cx="4610100" cy="4457700"/>
            <wp:effectExtent l="0" t="0" r="0" b="0"/>
            <wp:wrapThrough wrapText="bothSides">
              <wp:wrapPolygon edited="0">
                <wp:start x="0" y="0"/>
                <wp:lineTo x="0" y="21508"/>
                <wp:lineTo x="21511" y="21508"/>
                <wp:lineTo x="21511" y="19846"/>
                <wp:lineTo x="15888" y="19200"/>
                <wp:lineTo x="21511" y="18923"/>
                <wp:lineTo x="21511" y="14769"/>
                <wp:lineTo x="17494" y="14769"/>
                <wp:lineTo x="21511" y="13754"/>
                <wp:lineTo x="21511" y="0"/>
                <wp:lineTo x="0" y="0"/>
              </wp:wrapPolygon>
            </wp:wrapThrough>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10100" cy="4457700"/>
                    </a:xfrm>
                    <a:prstGeom prst="rect">
                      <a:avLst/>
                    </a:prstGeom>
                    <a:noFill/>
                    <a:ln>
                      <a:noFill/>
                    </a:ln>
                  </pic:spPr>
                </pic:pic>
              </a:graphicData>
            </a:graphic>
            <wp14:sizeRelH relativeFrom="page">
              <wp14:pctWidth>0</wp14:pctWidth>
            </wp14:sizeRelH>
            <wp14:sizeRelV relativeFrom="page">
              <wp14:pctHeight>0</wp14:pctHeight>
            </wp14:sizeRelV>
          </wp:anchor>
        </w:drawing>
      </w:r>
      <w:r w:rsidR="006D59DC" w:rsidRPr="00173BD7">
        <w:rPr>
          <w:rFonts w:ascii="Arial" w:hAnsi="Arial" w:cs="Arial"/>
          <w:b/>
          <w:bCs/>
          <w:lang w:val="fr-FR"/>
        </w:rPr>
        <w:t>ACTIVO CIRCULANTE</w:t>
      </w:r>
    </w:p>
    <w:p w14:paraId="6B69C6FF" w14:textId="24D51C5E" w:rsidR="006D59DC" w:rsidRPr="00173BD7" w:rsidRDefault="006D59DC" w:rsidP="006D59DC">
      <w:pPr>
        <w:rPr>
          <w:rFonts w:ascii="Arial" w:hAnsi="Arial" w:cs="Arial"/>
          <w:b/>
          <w:bCs/>
          <w:lang w:val="fr-FR"/>
        </w:rPr>
      </w:pPr>
    </w:p>
    <w:p w14:paraId="1EAE0D27" w14:textId="55F26765" w:rsidR="001103B4" w:rsidRPr="00173BD7" w:rsidRDefault="001103B4" w:rsidP="006D59DC">
      <w:pPr>
        <w:rPr>
          <w:rFonts w:ascii="Arial" w:hAnsi="Arial" w:cs="Arial"/>
          <w:b/>
          <w:bCs/>
          <w:lang w:val="fr-FR"/>
        </w:rPr>
      </w:pPr>
    </w:p>
    <w:p w14:paraId="4F756056" w14:textId="64FDAA7E" w:rsidR="001103B4" w:rsidRPr="00173BD7" w:rsidRDefault="001103B4" w:rsidP="006D59DC">
      <w:pPr>
        <w:rPr>
          <w:rFonts w:ascii="Arial" w:hAnsi="Arial" w:cs="Arial"/>
          <w:b/>
          <w:bCs/>
          <w:lang w:val="fr-FR"/>
        </w:rPr>
      </w:pPr>
    </w:p>
    <w:p w14:paraId="72828926" w14:textId="14D46DCB" w:rsidR="001103B4" w:rsidRPr="00173BD7" w:rsidRDefault="001103B4" w:rsidP="006D59DC">
      <w:pPr>
        <w:rPr>
          <w:rFonts w:ascii="Arial" w:hAnsi="Arial" w:cs="Arial"/>
          <w:b/>
          <w:bCs/>
          <w:lang w:val="fr-FR"/>
        </w:rPr>
      </w:pPr>
    </w:p>
    <w:p w14:paraId="3484C94E" w14:textId="652B96E4" w:rsidR="001103B4" w:rsidRPr="00173BD7" w:rsidRDefault="001103B4" w:rsidP="006D59DC">
      <w:pPr>
        <w:rPr>
          <w:rFonts w:ascii="Arial" w:hAnsi="Arial" w:cs="Arial"/>
          <w:b/>
          <w:bCs/>
          <w:lang w:val="fr-FR"/>
        </w:rPr>
      </w:pPr>
    </w:p>
    <w:p w14:paraId="544895B3" w14:textId="7FA3CAF1" w:rsidR="001103B4" w:rsidRPr="00173BD7" w:rsidRDefault="001103B4" w:rsidP="006D59DC">
      <w:pPr>
        <w:rPr>
          <w:rFonts w:ascii="Arial" w:hAnsi="Arial" w:cs="Arial"/>
          <w:b/>
          <w:bCs/>
          <w:lang w:val="fr-FR"/>
        </w:rPr>
      </w:pPr>
    </w:p>
    <w:p w14:paraId="49AD745D" w14:textId="1E55F485" w:rsidR="001103B4" w:rsidRPr="00173BD7" w:rsidRDefault="001103B4" w:rsidP="006D59DC">
      <w:pPr>
        <w:rPr>
          <w:rFonts w:ascii="Arial" w:hAnsi="Arial" w:cs="Arial"/>
          <w:b/>
          <w:bCs/>
          <w:lang w:val="fr-FR"/>
        </w:rPr>
      </w:pPr>
    </w:p>
    <w:p w14:paraId="629258E6" w14:textId="23694D71" w:rsidR="001103B4" w:rsidRPr="00173BD7" w:rsidRDefault="001103B4" w:rsidP="006D59DC">
      <w:pPr>
        <w:rPr>
          <w:rFonts w:ascii="Arial" w:hAnsi="Arial" w:cs="Arial"/>
          <w:b/>
          <w:bCs/>
          <w:lang w:val="fr-FR"/>
        </w:rPr>
      </w:pPr>
    </w:p>
    <w:p w14:paraId="19CCB262" w14:textId="5CE41445" w:rsidR="001103B4" w:rsidRPr="00173BD7" w:rsidRDefault="001103B4" w:rsidP="006D59DC">
      <w:pPr>
        <w:rPr>
          <w:rFonts w:ascii="Arial" w:hAnsi="Arial" w:cs="Arial"/>
          <w:b/>
          <w:bCs/>
          <w:lang w:val="fr-FR"/>
        </w:rPr>
      </w:pPr>
    </w:p>
    <w:p w14:paraId="34EA7D86" w14:textId="22DE4B15" w:rsidR="001103B4" w:rsidRPr="00173BD7" w:rsidRDefault="001103B4" w:rsidP="006D59DC">
      <w:pPr>
        <w:rPr>
          <w:rFonts w:ascii="Arial" w:hAnsi="Arial" w:cs="Arial"/>
          <w:b/>
          <w:bCs/>
          <w:lang w:val="fr-FR"/>
        </w:rPr>
      </w:pPr>
    </w:p>
    <w:p w14:paraId="44F33075" w14:textId="4096CB73" w:rsidR="001103B4" w:rsidRPr="00173BD7" w:rsidRDefault="001103B4" w:rsidP="006D59DC">
      <w:pPr>
        <w:rPr>
          <w:rFonts w:ascii="Arial" w:hAnsi="Arial" w:cs="Arial"/>
          <w:b/>
          <w:bCs/>
          <w:lang w:val="fr-FR"/>
        </w:rPr>
      </w:pPr>
    </w:p>
    <w:p w14:paraId="7407D789" w14:textId="6BE49E06" w:rsidR="001103B4" w:rsidRPr="00173BD7" w:rsidRDefault="001103B4" w:rsidP="006D59DC">
      <w:pPr>
        <w:rPr>
          <w:rFonts w:ascii="Arial" w:hAnsi="Arial" w:cs="Arial"/>
          <w:b/>
          <w:bCs/>
          <w:lang w:val="fr-FR"/>
        </w:rPr>
      </w:pPr>
    </w:p>
    <w:p w14:paraId="3C8F44BD" w14:textId="5F4CEA8A" w:rsidR="001103B4" w:rsidRPr="00173BD7" w:rsidRDefault="001103B4" w:rsidP="006D59DC">
      <w:pPr>
        <w:rPr>
          <w:rFonts w:ascii="Arial" w:hAnsi="Arial" w:cs="Arial"/>
          <w:b/>
          <w:bCs/>
          <w:lang w:val="fr-FR"/>
        </w:rPr>
      </w:pPr>
    </w:p>
    <w:p w14:paraId="24CE8ED8" w14:textId="234ABEBA" w:rsidR="001103B4" w:rsidRPr="00173BD7" w:rsidRDefault="001103B4" w:rsidP="006D59DC">
      <w:pPr>
        <w:rPr>
          <w:rFonts w:ascii="Arial" w:hAnsi="Arial" w:cs="Arial"/>
          <w:b/>
          <w:bCs/>
          <w:lang w:val="fr-FR"/>
        </w:rPr>
      </w:pPr>
    </w:p>
    <w:p w14:paraId="05839946" w14:textId="249BD2A5" w:rsidR="001103B4" w:rsidRPr="00173BD7" w:rsidRDefault="001103B4" w:rsidP="006D59DC">
      <w:pPr>
        <w:rPr>
          <w:rFonts w:ascii="Arial" w:hAnsi="Arial" w:cs="Arial"/>
          <w:b/>
          <w:bCs/>
          <w:lang w:val="fr-FR"/>
        </w:rPr>
      </w:pPr>
    </w:p>
    <w:p w14:paraId="08ECD0F9" w14:textId="00198972" w:rsidR="001103B4" w:rsidRPr="00173BD7" w:rsidRDefault="001103B4" w:rsidP="006D59DC">
      <w:pPr>
        <w:rPr>
          <w:rFonts w:ascii="Arial" w:hAnsi="Arial" w:cs="Arial"/>
          <w:b/>
          <w:bCs/>
          <w:lang w:val="fr-FR"/>
        </w:rPr>
      </w:pPr>
    </w:p>
    <w:p w14:paraId="6EBA9B99" w14:textId="07F03DD7" w:rsidR="001103B4" w:rsidRPr="00173BD7" w:rsidRDefault="001103B4" w:rsidP="006D59DC">
      <w:pPr>
        <w:rPr>
          <w:rFonts w:ascii="Arial" w:hAnsi="Arial" w:cs="Arial"/>
          <w:b/>
          <w:bCs/>
          <w:lang w:val="fr-FR"/>
        </w:rPr>
      </w:pPr>
    </w:p>
    <w:p w14:paraId="780A7824" w14:textId="1EC0B64E" w:rsidR="00221370" w:rsidRDefault="00221370" w:rsidP="006D59DC">
      <w:pPr>
        <w:rPr>
          <w:rFonts w:ascii="Arial" w:hAnsi="Arial" w:cs="Arial"/>
          <w:lang w:val="fr-FR"/>
        </w:rPr>
      </w:pPr>
      <w:r w:rsidRPr="00221370">
        <w:rPr>
          <w:rFonts w:ascii="Arial" w:hAnsi="Arial" w:cs="Arial"/>
          <w:lang w:val="fr-FR"/>
        </w:rPr>
        <w:t xml:space="preserve">Les actifs courants ou fonds de roulement sont constitués des éléments du bilan qui se traduisent par une liquidité plus ou moins immédiate. Ce sont des soldes impayés, de sorte que le solde client est celui qui devrait être </w:t>
      </w:r>
      <w:r w:rsidR="00787994">
        <w:rPr>
          <w:rFonts w:ascii="Arial" w:hAnsi="Arial" w:cs="Arial"/>
          <w:lang w:val="fr-FR"/>
        </w:rPr>
        <w:t>reçu</w:t>
      </w:r>
      <w:r w:rsidRPr="00221370">
        <w:rPr>
          <w:rFonts w:ascii="Arial" w:hAnsi="Arial" w:cs="Arial"/>
          <w:lang w:val="fr-FR"/>
        </w:rPr>
        <w:t>, et non celui qui figure réellement dans la comptabilité.</w:t>
      </w:r>
    </w:p>
    <w:p w14:paraId="5191A107" w14:textId="14EF8F1D" w:rsidR="00787994" w:rsidRPr="00787994" w:rsidRDefault="00787994" w:rsidP="00787994">
      <w:pPr>
        <w:rPr>
          <w:rFonts w:ascii="Arial" w:hAnsi="Arial" w:cs="Arial"/>
          <w:lang w:val="fr-FR"/>
        </w:rPr>
      </w:pPr>
      <w:r w:rsidRPr="00787994">
        <w:rPr>
          <w:rFonts w:ascii="Arial" w:hAnsi="Arial" w:cs="Arial"/>
          <w:lang w:val="fr-FR"/>
        </w:rPr>
        <w:t>Comme il est effectué au 31 janvier, toutes les dépenses du mois de janvier sont donc incluses dans ce solde.</w:t>
      </w:r>
    </w:p>
    <w:p w14:paraId="5ADB58AA" w14:textId="7D0C97F7" w:rsidR="00787994" w:rsidRPr="00787994" w:rsidRDefault="00787994" w:rsidP="00787994">
      <w:pPr>
        <w:rPr>
          <w:rFonts w:ascii="Arial" w:hAnsi="Arial" w:cs="Arial"/>
          <w:lang w:val="fr-FR"/>
        </w:rPr>
      </w:pPr>
      <w:r w:rsidRPr="00787994">
        <w:rPr>
          <w:rFonts w:ascii="Arial" w:hAnsi="Arial" w:cs="Arial"/>
          <w:lang w:val="fr-FR"/>
        </w:rPr>
        <w:t xml:space="preserve">Il commence par le solde disponible </w:t>
      </w:r>
      <w:r>
        <w:rPr>
          <w:rFonts w:ascii="Arial" w:hAnsi="Arial" w:cs="Arial"/>
          <w:lang w:val="fr-FR"/>
        </w:rPr>
        <w:t>de</w:t>
      </w:r>
      <w:r w:rsidRPr="00787994">
        <w:rPr>
          <w:rFonts w:ascii="Arial" w:hAnsi="Arial" w:cs="Arial"/>
          <w:lang w:val="fr-FR"/>
        </w:rPr>
        <w:t xml:space="preserve"> la trésorerie au 31 janvier.</w:t>
      </w:r>
    </w:p>
    <w:p w14:paraId="2BE56AC5" w14:textId="77777777" w:rsidR="00787994" w:rsidRPr="00787994" w:rsidRDefault="00787994" w:rsidP="00787994">
      <w:pPr>
        <w:rPr>
          <w:rFonts w:ascii="Arial" w:hAnsi="Arial" w:cs="Arial"/>
          <w:lang w:val="fr-FR"/>
        </w:rPr>
      </w:pPr>
      <w:r w:rsidRPr="00787994">
        <w:rPr>
          <w:rFonts w:ascii="Arial" w:hAnsi="Arial" w:cs="Arial"/>
          <w:lang w:val="fr-FR"/>
        </w:rPr>
        <w:t>Le solde client est constitué du solde courant majoré de la prévision de facturation pour janvier moins les 208 000 € d'encaissements attendus déjà en trésorerie.</w:t>
      </w:r>
    </w:p>
    <w:p w14:paraId="0A765C3B" w14:textId="77777777" w:rsidR="00787994" w:rsidRPr="00173BD7" w:rsidRDefault="00787994" w:rsidP="00787994">
      <w:pPr>
        <w:rPr>
          <w:rFonts w:ascii="Arial" w:hAnsi="Arial" w:cs="Arial"/>
          <w:lang w:val="fr-FR"/>
        </w:rPr>
      </w:pPr>
      <w:r w:rsidRPr="00173BD7">
        <w:rPr>
          <w:rFonts w:ascii="Arial" w:hAnsi="Arial" w:cs="Arial"/>
          <w:lang w:val="fr-FR"/>
        </w:rPr>
        <w:t>La somme de la trésorerie et du solde client nous donne le capital réalisable.</w:t>
      </w:r>
    </w:p>
    <w:p w14:paraId="658B2CBE" w14:textId="50B88DBC" w:rsidR="00612ED4" w:rsidRDefault="00612ED4" w:rsidP="006D59DC">
      <w:pPr>
        <w:rPr>
          <w:rFonts w:ascii="Arial" w:hAnsi="Arial" w:cs="Arial"/>
          <w:lang w:val="fr-FR"/>
        </w:rPr>
      </w:pPr>
      <w:r w:rsidRPr="00612ED4">
        <w:rPr>
          <w:rFonts w:ascii="Arial" w:hAnsi="Arial" w:cs="Arial"/>
          <w:lang w:val="fr-FR"/>
        </w:rPr>
        <w:t xml:space="preserve">La facturation de janvier étant </w:t>
      </w:r>
      <w:r>
        <w:rPr>
          <w:rFonts w:ascii="Arial" w:hAnsi="Arial" w:cs="Arial"/>
          <w:lang w:val="fr-FR"/>
        </w:rPr>
        <w:t xml:space="preserve">celle </w:t>
      </w:r>
      <w:r w:rsidRPr="00612ED4">
        <w:rPr>
          <w:rFonts w:ascii="Arial" w:hAnsi="Arial" w:cs="Arial"/>
          <w:lang w:val="fr-FR"/>
        </w:rPr>
        <w:t xml:space="preserve">du budget, il faut mettre dans la partie dépenses les </w:t>
      </w:r>
      <w:r>
        <w:rPr>
          <w:rFonts w:ascii="Arial" w:hAnsi="Arial" w:cs="Arial"/>
          <w:lang w:val="fr-FR"/>
        </w:rPr>
        <w:t>salaires</w:t>
      </w:r>
      <w:r w:rsidRPr="00612ED4">
        <w:rPr>
          <w:rFonts w:ascii="Arial" w:hAnsi="Arial" w:cs="Arial"/>
          <w:lang w:val="fr-FR"/>
        </w:rPr>
        <w:t xml:space="preserve"> des </w:t>
      </w:r>
      <w:r>
        <w:rPr>
          <w:rFonts w:ascii="Arial" w:hAnsi="Arial" w:cs="Arial"/>
          <w:lang w:val="fr-FR"/>
        </w:rPr>
        <w:t>membres</w:t>
      </w:r>
      <w:r w:rsidRPr="00612ED4">
        <w:rPr>
          <w:rFonts w:ascii="Arial" w:hAnsi="Arial" w:cs="Arial"/>
          <w:lang w:val="fr-FR"/>
        </w:rPr>
        <w:t>, la sécurité sociale, les</w:t>
      </w:r>
      <w:r>
        <w:rPr>
          <w:rFonts w:ascii="Arial" w:hAnsi="Arial" w:cs="Arial"/>
          <w:lang w:val="fr-FR"/>
        </w:rPr>
        <w:t xml:space="preserve"> impôts </w:t>
      </w:r>
      <w:r w:rsidRPr="00612ED4">
        <w:rPr>
          <w:rFonts w:ascii="Arial" w:hAnsi="Arial" w:cs="Arial"/>
          <w:lang w:val="fr-FR"/>
        </w:rPr>
        <w:t>retenus à la source et la TVA de la facturation de janvier. À cela, nous ajoutons les soldes créditeurs en attente de paiement et les frais de structure et nous obtenons l'échéance immédiate.</w:t>
      </w:r>
    </w:p>
    <w:p w14:paraId="6E0FB5E2" w14:textId="77777777" w:rsidR="00612ED4" w:rsidRDefault="00612ED4" w:rsidP="006D59DC">
      <w:pPr>
        <w:rPr>
          <w:rFonts w:ascii="Arial" w:hAnsi="Arial" w:cs="Arial"/>
          <w:lang w:val="fr-FR"/>
        </w:rPr>
      </w:pPr>
      <w:r w:rsidRPr="00612ED4">
        <w:rPr>
          <w:rFonts w:ascii="Arial" w:hAnsi="Arial" w:cs="Arial"/>
          <w:lang w:val="fr-FR"/>
        </w:rPr>
        <w:t xml:space="preserve">La différence nous donne le disponible. Si l'on prend </w:t>
      </w:r>
      <w:r>
        <w:rPr>
          <w:rFonts w:ascii="Arial" w:hAnsi="Arial" w:cs="Arial"/>
          <w:lang w:val="fr-FR"/>
        </w:rPr>
        <w:t>aussi</w:t>
      </w:r>
      <w:r w:rsidRPr="00612ED4">
        <w:rPr>
          <w:rFonts w:ascii="Arial" w:hAnsi="Arial" w:cs="Arial"/>
          <w:lang w:val="fr-FR"/>
        </w:rPr>
        <w:t xml:space="preserve"> en compte les subventions reçues et qui n'ont pas encore été versées, on obtient l'actif réel courant de la coopérative.</w:t>
      </w:r>
    </w:p>
    <w:p w14:paraId="6A99A6AF" w14:textId="2377E50F" w:rsidR="00612ED4" w:rsidRPr="00612ED4" w:rsidRDefault="00612ED4" w:rsidP="006D59DC">
      <w:pPr>
        <w:rPr>
          <w:rFonts w:ascii="Arial" w:hAnsi="Arial" w:cs="Arial"/>
          <w:lang w:val="fr-FR"/>
        </w:rPr>
      </w:pPr>
      <w:r w:rsidRPr="00612ED4">
        <w:rPr>
          <w:rFonts w:ascii="Arial" w:hAnsi="Arial" w:cs="Arial"/>
          <w:lang w:val="fr-FR"/>
        </w:rPr>
        <w:lastRenderedPageBreak/>
        <w:t xml:space="preserve">C'est le montant sur lequel la coopérative peut compter pour </w:t>
      </w:r>
      <w:proofErr w:type="spellStart"/>
      <w:r>
        <w:rPr>
          <w:rFonts w:ascii="Arial" w:hAnsi="Arial" w:cs="Arial"/>
          <w:lang w:val="fr-FR"/>
        </w:rPr>
        <w:t>manien</w:t>
      </w:r>
      <w:proofErr w:type="spellEnd"/>
      <w:r w:rsidRPr="00612ED4">
        <w:rPr>
          <w:rFonts w:ascii="Arial" w:hAnsi="Arial" w:cs="Arial"/>
          <w:lang w:val="fr-FR"/>
        </w:rPr>
        <w:t>. Il faut tenir compte du fait que les soldes clients ne sont jamais à zéro et selon la façon dont ils sont facturés, il peut y avoir ou non des tensions de trésorerie.</w:t>
      </w:r>
    </w:p>
    <w:p w14:paraId="2FDE6DA3" w14:textId="77777777" w:rsidR="00612ED4" w:rsidRPr="00612ED4" w:rsidRDefault="00612ED4" w:rsidP="00612ED4">
      <w:pPr>
        <w:rPr>
          <w:rFonts w:ascii="Arial" w:hAnsi="Arial" w:cs="Arial"/>
          <w:lang w:val="fr-FR"/>
        </w:rPr>
      </w:pPr>
      <w:r w:rsidRPr="00612ED4">
        <w:rPr>
          <w:rFonts w:ascii="Arial" w:hAnsi="Arial" w:cs="Arial"/>
          <w:lang w:val="fr-FR"/>
        </w:rPr>
        <w:t>De même, lors du paiement trimestriel des impôts, les mois où il n'est pas nécessaire de le faire sont moins tendus et les mois d'avril, juillet et octobre seront ceux où il peut y avoir un manque de liquidité.</w:t>
      </w:r>
    </w:p>
    <w:p w14:paraId="0ABDF0D5" w14:textId="2DC984EA" w:rsidR="00612ED4" w:rsidRPr="00612ED4" w:rsidRDefault="00612ED4" w:rsidP="00612ED4">
      <w:pPr>
        <w:rPr>
          <w:rFonts w:ascii="Arial" w:hAnsi="Arial" w:cs="Arial"/>
          <w:lang w:val="fr-FR"/>
        </w:rPr>
      </w:pPr>
      <w:r w:rsidRPr="00612ED4">
        <w:rPr>
          <w:rFonts w:ascii="Arial" w:hAnsi="Arial" w:cs="Arial"/>
          <w:lang w:val="fr-FR"/>
        </w:rPr>
        <w:t xml:space="preserve">En ce mois de janvier, il n'y a pas eu ce manque de liquidités qui était prévu </w:t>
      </w:r>
      <w:r>
        <w:rPr>
          <w:rFonts w:ascii="Arial" w:hAnsi="Arial" w:cs="Arial"/>
          <w:lang w:val="fr-FR"/>
        </w:rPr>
        <w:t>dû au fait des</w:t>
      </w:r>
      <w:r w:rsidRPr="00612ED4">
        <w:rPr>
          <w:rFonts w:ascii="Arial" w:hAnsi="Arial" w:cs="Arial"/>
          <w:lang w:val="fr-FR"/>
        </w:rPr>
        <w:t xml:space="preserve"> subventions </w:t>
      </w:r>
      <w:r>
        <w:rPr>
          <w:rFonts w:ascii="Arial" w:hAnsi="Arial" w:cs="Arial"/>
          <w:lang w:val="fr-FR"/>
        </w:rPr>
        <w:t xml:space="preserve">reçues en avance </w:t>
      </w:r>
      <w:r w:rsidRPr="00612ED4">
        <w:rPr>
          <w:rFonts w:ascii="Arial" w:hAnsi="Arial" w:cs="Arial"/>
          <w:lang w:val="fr-FR"/>
        </w:rPr>
        <w:t xml:space="preserve">et </w:t>
      </w:r>
      <w:r>
        <w:rPr>
          <w:rFonts w:ascii="Arial" w:hAnsi="Arial" w:cs="Arial"/>
          <w:lang w:val="fr-FR"/>
        </w:rPr>
        <w:t>que plusieurs jours nous avons reçu plus de payements qu’attendus.</w:t>
      </w:r>
    </w:p>
    <w:p w14:paraId="2F313AFF" w14:textId="0471D771" w:rsidR="00612ED4" w:rsidRPr="00612ED4" w:rsidRDefault="00612ED4" w:rsidP="00612ED4">
      <w:pPr>
        <w:rPr>
          <w:rFonts w:ascii="Arial" w:hAnsi="Arial" w:cs="Arial"/>
          <w:lang w:val="fr-FR"/>
        </w:rPr>
      </w:pPr>
      <w:r w:rsidRPr="00612ED4">
        <w:rPr>
          <w:rFonts w:ascii="Arial" w:hAnsi="Arial" w:cs="Arial"/>
          <w:lang w:val="fr-FR"/>
        </w:rPr>
        <w:t xml:space="preserve">Cela nous montre l'importance de ne pas </w:t>
      </w:r>
      <w:r>
        <w:rPr>
          <w:rFonts w:ascii="Arial" w:hAnsi="Arial" w:cs="Arial"/>
          <w:lang w:val="fr-FR"/>
        </w:rPr>
        <w:t xml:space="preserve">avoir des impayés </w:t>
      </w:r>
      <w:r w:rsidRPr="00612ED4">
        <w:rPr>
          <w:rFonts w:ascii="Arial" w:hAnsi="Arial" w:cs="Arial"/>
          <w:lang w:val="fr-FR"/>
        </w:rPr>
        <w:t xml:space="preserve">des clients, car chaque euro qui n'est pas </w:t>
      </w:r>
      <w:r>
        <w:rPr>
          <w:rFonts w:ascii="Arial" w:hAnsi="Arial" w:cs="Arial"/>
          <w:lang w:val="fr-FR"/>
        </w:rPr>
        <w:t>reçu</w:t>
      </w:r>
      <w:r w:rsidRPr="00612ED4">
        <w:rPr>
          <w:rFonts w:ascii="Arial" w:hAnsi="Arial" w:cs="Arial"/>
          <w:lang w:val="fr-FR"/>
        </w:rPr>
        <w:t xml:space="preserve"> sur ce qui est considéré comme des soldes clients impayés est un euro qui disparaît des actifs courants, et donc du capital disponible pour fonctionner.</w:t>
      </w:r>
    </w:p>
    <w:p w14:paraId="1BA431EB" w14:textId="77777777" w:rsidR="00612ED4" w:rsidRPr="00612ED4" w:rsidRDefault="00612ED4" w:rsidP="00612ED4">
      <w:pPr>
        <w:rPr>
          <w:rFonts w:ascii="Arial" w:hAnsi="Arial" w:cs="Arial"/>
          <w:lang w:val="fr-FR"/>
        </w:rPr>
      </w:pPr>
      <w:r w:rsidRPr="00612ED4">
        <w:rPr>
          <w:rFonts w:ascii="Arial" w:hAnsi="Arial" w:cs="Arial"/>
          <w:lang w:val="fr-FR"/>
        </w:rPr>
        <w:t>Le solde client considéré comme impayé pour ce rapport et à partir duquel les prévisions ont été faites s'élève à 437 000 €.</w:t>
      </w:r>
    </w:p>
    <w:p w14:paraId="4B1E62F2" w14:textId="3B3C5AE4" w:rsidR="00612ED4" w:rsidRDefault="00612ED4" w:rsidP="006D59DC">
      <w:pPr>
        <w:rPr>
          <w:rFonts w:ascii="Arial" w:hAnsi="Arial" w:cs="Arial"/>
          <w:lang w:val="fr-FR"/>
        </w:rPr>
      </w:pPr>
      <w:r w:rsidRPr="00612ED4">
        <w:rPr>
          <w:rFonts w:ascii="Arial" w:hAnsi="Arial" w:cs="Arial"/>
          <w:lang w:val="fr-FR"/>
        </w:rPr>
        <w:t>Le fonds de roulement diminuera ou augmentera de mois en mois en fonction du résultat de chacun d'eux. Si nous nous en tenons à la prévision établie avec un budget de facturation de 3 500 000, de septembre à octobre, cela commencera à être négatif.</w:t>
      </w:r>
    </w:p>
    <w:p w14:paraId="1577C20F" w14:textId="5632F39E" w:rsidR="00612ED4" w:rsidRDefault="00612ED4" w:rsidP="006D59DC">
      <w:pPr>
        <w:rPr>
          <w:rFonts w:ascii="Arial" w:hAnsi="Arial" w:cs="Arial"/>
          <w:lang w:val="fr-FR"/>
        </w:rPr>
      </w:pPr>
      <w:r w:rsidRPr="00612ED4">
        <w:rPr>
          <w:rFonts w:ascii="Arial" w:hAnsi="Arial" w:cs="Arial"/>
          <w:lang w:val="fr-FR"/>
        </w:rPr>
        <w:t xml:space="preserve">Les soldes des clients ou collaborateurs qui sont en attente de recouvrement pour différentes </w:t>
      </w:r>
      <w:r>
        <w:rPr>
          <w:rFonts w:ascii="Arial" w:hAnsi="Arial" w:cs="Arial"/>
          <w:lang w:val="fr-FR"/>
        </w:rPr>
        <w:t>raisons</w:t>
      </w:r>
      <w:r w:rsidRPr="00612ED4">
        <w:rPr>
          <w:rFonts w:ascii="Arial" w:hAnsi="Arial" w:cs="Arial"/>
          <w:lang w:val="fr-FR"/>
        </w:rPr>
        <w:t xml:space="preserve"> ne sont pas pris en compte pour ce rapport, si quelque chose était </w:t>
      </w:r>
      <w:r>
        <w:rPr>
          <w:rFonts w:ascii="Arial" w:hAnsi="Arial" w:cs="Arial"/>
          <w:lang w:val="fr-FR"/>
        </w:rPr>
        <w:t>reçu</w:t>
      </w:r>
      <w:r w:rsidRPr="00612ED4">
        <w:rPr>
          <w:rFonts w:ascii="Arial" w:hAnsi="Arial" w:cs="Arial"/>
          <w:lang w:val="fr-FR"/>
        </w:rPr>
        <w:t xml:space="preserve">, la liquidité et le fonds de roulement augmenteraient de ce montant. La même chose se produirait avec l'équilibre que Smart GDA a en attente avec </w:t>
      </w:r>
      <w:proofErr w:type="spellStart"/>
      <w:r w:rsidRPr="00612ED4">
        <w:rPr>
          <w:rFonts w:ascii="Arial" w:hAnsi="Arial" w:cs="Arial"/>
          <w:lang w:val="fr-FR"/>
        </w:rPr>
        <w:t>Smart-IB</w:t>
      </w:r>
      <w:proofErr w:type="spellEnd"/>
      <w:r w:rsidRPr="00612ED4">
        <w:rPr>
          <w:rFonts w:ascii="Arial" w:hAnsi="Arial" w:cs="Arial"/>
          <w:lang w:val="fr-FR"/>
        </w:rPr>
        <w:t>.</w:t>
      </w:r>
    </w:p>
    <w:p w14:paraId="4D0E5E16" w14:textId="77777777" w:rsidR="00612ED4" w:rsidRDefault="00612ED4" w:rsidP="006D59DC">
      <w:pPr>
        <w:rPr>
          <w:rFonts w:ascii="Arial" w:hAnsi="Arial" w:cs="Arial"/>
          <w:lang w:val="fr-FR"/>
        </w:rPr>
      </w:pPr>
    </w:p>
    <w:p w14:paraId="60E08D86" w14:textId="67C6B4AE" w:rsidR="0038259D" w:rsidRPr="00612ED4" w:rsidRDefault="0038259D" w:rsidP="006D59DC">
      <w:pPr>
        <w:rPr>
          <w:rFonts w:ascii="Arial" w:hAnsi="Arial" w:cs="Arial"/>
          <w:lang w:val="fr-FR"/>
        </w:rPr>
      </w:pPr>
      <w:r w:rsidRPr="00612ED4">
        <w:rPr>
          <w:rFonts w:ascii="Arial" w:hAnsi="Arial" w:cs="Arial"/>
          <w:lang w:val="fr-FR"/>
        </w:rPr>
        <w:t xml:space="preserve">12 </w:t>
      </w:r>
      <w:r w:rsidR="00612ED4">
        <w:rPr>
          <w:rFonts w:ascii="Arial" w:hAnsi="Arial" w:cs="Arial"/>
          <w:lang w:val="fr-FR"/>
        </w:rPr>
        <w:t>janvier</w:t>
      </w:r>
      <w:r w:rsidRPr="00612ED4">
        <w:rPr>
          <w:rFonts w:ascii="Arial" w:hAnsi="Arial" w:cs="Arial"/>
          <w:lang w:val="fr-FR"/>
        </w:rPr>
        <w:t xml:space="preserve"> 2021</w:t>
      </w:r>
    </w:p>
    <w:sectPr w:rsidR="0038259D" w:rsidRPr="00612ED4" w:rsidSect="00D772BF">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38347" w14:textId="77777777" w:rsidR="00FA1CBC" w:rsidRDefault="00FA1CBC" w:rsidP="00FB1DF9">
      <w:pPr>
        <w:spacing w:after="0" w:line="240" w:lineRule="auto"/>
      </w:pPr>
      <w:r>
        <w:separator/>
      </w:r>
    </w:p>
  </w:endnote>
  <w:endnote w:type="continuationSeparator" w:id="0">
    <w:p w14:paraId="64B7C32C" w14:textId="77777777" w:rsidR="00FA1CBC" w:rsidRDefault="00FA1CBC" w:rsidP="00FB1D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8DC3F" w14:textId="77777777" w:rsidR="00FA1CBC" w:rsidRDefault="00FA1CBC" w:rsidP="00FB1DF9">
      <w:pPr>
        <w:spacing w:after="0" w:line="240" w:lineRule="auto"/>
      </w:pPr>
      <w:r>
        <w:separator/>
      </w:r>
    </w:p>
  </w:footnote>
  <w:footnote w:type="continuationSeparator" w:id="0">
    <w:p w14:paraId="661E5FCB" w14:textId="77777777" w:rsidR="00FA1CBC" w:rsidRDefault="00FA1CBC" w:rsidP="00FB1DF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1F4"/>
    <w:rsid w:val="001103B4"/>
    <w:rsid w:val="001600C3"/>
    <w:rsid w:val="00173BD7"/>
    <w:rsid w:val="00203609"/>
    <w:rsid w:val="00221370"/>
    <w:rsid w:val="00231914"/>
    <w:rsid w:val="00311F13"/>
    <w:rsid w:val="0038013D"/>
    <w:rsid w:val="0038259D"/>
    <w:rsid w:val="00475631"/>
    <w:rsid w:val="0059214A"/>
    <w:rsid w:val="005F70D4"/>
    <w:rsid w:val="00612ED4"/>
    <w:rsid w:val="006D59DC"/>
    <w:rsid w:val="006D7EFF"/>
    <w:rsid w:val="0072175F"/>
    <w:rsid w:val="00737F0B"/>
    <w:rsid w:val="00787994"/>
    <w:rsid w:val="00790684"/>
    <w:rsid w:val="00B807CB"/>
    <w:rsid w:val="00BA121F"/>
    <w:rsid w:val="00BA6003"/>
    <w:rsid w:val="00BF11E9"/>
    <w:rsid w:val="00C54DE1"/>
    <w:rsid w:val="00C74CC9"/>
    <w:rsid w:val="00D23806"/>
    <w:rsid w:val="00D772BF"/>
    <w:rsid w:val="00DF31F4"/>
    <w:rsid w:val="00FA1CBC"/>
    <w:rsid w:val="00FB1DF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7B256"/>
  <w15:chartTrackingRefBased/>
  <w15:docId w15:val="{21079601-CC8D-4FA6-9D68-FC5CD67DA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B1DF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B1DF9"/>
  </w:style>
  <w:style w:type="paragraph" w:styleId="Piedepgina">
    <w:name w:val="footer"/>
    <w:basedOn w:val="Normal"/>
    <w:link w:val="PiedepginaCar"/>
    <w:uiPriority w:val="99"/>
    <w:unhideWhenUsed/>
    <w:rsid w:val="00FB1DF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B1D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8936973">
      <w:bodyDiv w:val="1"/>
      <w:marLeft w:val="0"/>
      <w:marRight w:val="0"/>
      <w:marTop w:val="0"/>
      <w:marBottom w:val="0"/>
      <w:divBdr>
        <w:top w:val="none" w:sz="0" w:space="0" w:color="auto"/>
        <w:left w:val="none" w:sz="0" w:space="0" w:color="auto"/>
        <w:bottom w:val="none" w:sz="0" w:space="0" w:color="auto"/>
        <w:right w:val="none" w:sz="0" w:space="0" w:color="auto"/>
      </w:divBdr>
      <w:divsChild>
        <w:div w:id="4682038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66bc505-762f-47f8-ba8c-44eeb4fdcad7">
      <Terms xmlns="http://schemas.microsoft.com/office/infopath/2007/PartnerControls"/>
    </lcf76f155ced4ddcb4097134ff3c332f>
    <TaxCatchAll xmlns="787ba547-a87f-4afe-8c87-5434c8d18f3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3E87884270C5B44995410D1C541F4998" ma:contentTypeVersion="17" ma:contentTypeDescription="Crear nuevo documento." ma:contentTypeScope="" ma:versionID="f80eb1bb557d31da6580ab0b7632877a">
  <xsd:schema xmlns:xsd="http://www.w3.org/2001/XMLSchema" xmlns:xs="http://www.w3.org/2001/XMLSchema" xmlns:p="http://schemas.microsoft.com/office/2006/metadata/properties" xmlns:ns2="b66bc505-762f-47f8-ba8c-44eeb4fdcad7" xmlns:ns3="787ba547-a87f-4afe-8c87-5434c8d18f3f" targetNamespace="http://schemas.microsoft.com/office/2006/metadata/properties" ma:root="true" ma:fieldsID="07c18d15680eb7bfb89fe01151739617" ns2:_="" ns3:_="">
    <xsd:import namespace="b66bc505-762f-47f8-ba8c-44eeb4fdcad7"/>
    <xsd:import namespace="787ba547-a87f-4afe-8c87-5434c8d18f3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6bc505-762f-47f8-ba8c-44eeb4fdc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0c03f3bb-8cb1-49df-89b6-ea1baf6095bb"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7ba547-a87f-4afe-8c87-5434c8d18f3f"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2ff8e3c2-3b33-4016-a54b-302eac57f46e}" ma:internalName="TaxCatchAll" ma:showField="CatchAllData" ma:web="787ba547-a87f-4afe-8c87-5434c8d18f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009210-843F-4CC4-AF75-8D66267B62E5}">
  <ds:schemaRefs>
    <ds:schemaRef ds:uri="http://schemas.microsoft.com/office/2006/metadata/properties"/>
    <ds:schemaRef ds:uri="http://schemas.microsoft.com/office/infopath/2007/PartnerControls"/>
    <ds:schemaRef ds:uri="b66bc505-762f-47f8-ba8c-44eeb4fdcad7"/>
    <ds:schemaRef ds:uri="787ba547-a87f-4afe-8c87-5434c8d18f3f"/>
  </ds:schemaRefs>
</ds:datastoreItem>
</file>

<file path=customXml/itemProps2.xml><?xml version="1.0" encoding="utf-8"?>
<ds:datastoreItem xmlns:ds="http://schemas.openxmlformats.org/officeDocument/2006/customXml" ds:itemID="{BF4B5DC7-2E53-41B1-98F9-CC2E8C734B87}">
  <ds:schemaRefs>
    <ds:schemaRef ds:uri="http://schemas.microsoft.com/sharepoint/v3/contenttype/forms"/>
  </ds:schemaRefs>
</ds:datastoreItem>
</file>

<file path=customXml/itemProps3.xml><?xml version="1.0" encoding="utf-8"?>
<ds:datastoreItem xmlns:ds="http://schemas.openxmlformats.org/officeDocument/2006/customXml" ds:itemID="{F36B594C-EAE2-402A-8F15-FB5C1684E5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6bc505-762f-47f8-ba8c-44eeb4fdcad7"/>
    <ds:schemaRef ds:uri="787ba547-a87f-4afe-8c87-5434c8d18f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5</Pages>
  <Words>627</Words>
  <Characters>3454</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García Marqueño</dc:creator>
  <cp:keywords/>
  <dc:description/>
  <cp:lastModifiedBy>Hélène Vietti</cp:lastModifiedBy>
  <cp:revision>3</cp:revision>
  <dcterms:created xsi:type="dcterms:W3CDTF">2021-01-24T19:50:00Z</dcterms:created>
  <dcterms:modified xsi:type="dcterms:W3CDTF">2022-11-22T14:47:00Z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0x0101003E87884270C5B44995410D1C541F4998</vt:lpwstr>
  </property>
  <property fmtid="{D5CDD505-2E9C-101B-9397-08002B2CF9AE}" pid="3" name="MediaServiceImageTags">
    <vt:lpwstr/>
  </property>
</Properties>
</file>